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96ED" w14:textId="77777777" w:rsidR="001E3F0B" w:rsidRPr="00863472" w:rsidRDefault="001E3F0B" w:rsidP="001E3F0B">
      <w:pPr>
        <w:spacing w:after="156" w:line="259" w:lineRule="auto"/>
        <w:ind w:left="360" w:right="0" w:firstLine="0"/>
        <w:jc w:val="left"/>
      </w:pPr>
    </w:p>
    <w:p w14:paraId="2758942B" w14:textId="3568B600" w:rsidR="001E3F0B" w:rsidRPr="001E3F0B" w:rsidRDefault="001E3F0B" w:rsidP="001E3F0B">
      <w:pPr>
        <w:spacing w:after="154" w:line="259" w:lineRule="auto"/>
        <w:ind w:left="360" w:right="0" w:firstLine="0"/>
        <w:jc w:val="left"/>
      </w:pPr>
      <w:r w:rsidRPr="00863472">
        <w:rPr>
          <w:b/>
          <w:sz w:val="40"/>
        </w:rPr>
        <w:t xml:space="preserve"> </w:t>
      </w:r>
    </w:p>
    <w:p w14:paraId="0C38EF18" w14:textId="77777777" w:rsidR="001E3F0B" w:rsidRPr="00863472" w:rsidRDefault="001E3F0B" w:rsidP="001E3F0B">
      <w:pPr>
        <w:spacing w:after="145" w:line="259" w:lineRule="auto"/>
        <w:ind w:left="360" w:right="0" w:firstLine="0"/>
        <w:jc w:val="center"/>
        <w:rPr>
          <w:rFonts w:ascii="Arial" w:hAnsi="Arial" w:cs="Arial"/>
          <w:shd w:val="clear" w:color="auto" w:fill="FFFFFF"/>
        </w:rPr>
      </w:pPr>
      <w:r w:rsidRPr="00863472">
        <w:rPr>
          <w:rFonts w:ascii="Arial" w:hAnsi="Arial" w:cs="Arial"/>
          <w:noProof/>
          <w:shd w:val="clear" w:color="auto" w:fill="FFFFFF"/>
        </w:rPr>
        <w:drawing>
          <wp:inline distT="0" distB="0" distL="0" distR="0" wp14:anchorId="51EC3367" wp14:editId="6D7CE96E">
            <wp:extent cx="1943204" cy="180022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8967" cy="1824093"/>
                    </a:xfrm>
                    <a:prstGeom prst="rect">
                      <a:avLst/>
                    </a:prstGeom>
                    <a:noFill/>
                  </pic:spPr>
                </pic:pic>
              </a:graphicData>
            </a:graphic>
          </wp:inline>
        </w:drawing>
      </w:r>
    </w:p>
    <w:p w14:paraId="4F431DC1" w14:textId="77777777" w:rsidR="001E3F0B" w:rsidRPr="00863472" w:rsidRDefault="001E3F0B" w:rsidP="001E3F0B">
      <w:pPr>
        <w:spacing w:after="145" w:line="259" w:lineRule="auto"/>
        <w:ind w:left="0" w:right="0" w:firstLine="0"/>
        <w:jc w:val="left"/>
        <w:rPr>
          <w:rFonts w:ascii="Arial" w:hAnsi="Arial" w:cs="Arial"/>
          <w:b/>
          <w:sz w:val="48"/>
          <w:szCs w:val="48"/>
          <w:shd w:val="clear" w:color="auto" w:fill="FFFFFF"/>
        </w:rPr>
      </w:pPr>
    </w:p>
    <w:p w14:paraId="5CD96162" w14:textId="77777777" w:rsidR="001E3F0B" w:rsidRPr="00863472" w:rsidRDefault="001E3F0B" w:rsidP="001E3F0B">
      <w:pPr>
        <w:spacing w:after="145" w:line="259" w:lineRule="auto"/>
        <w:ind w:left="567" w:right="0" w:hanging="207"/>
        <w:jc w:val="center"/>
        <w:rPr>
          <w:rFonts w:ascii="Arial" w:hAnsi="Arial" w:cs="Arial"/>
          <w:b/>
          <w:sz w:val="48"/>
          <w:szCs w:val="48"/>
          <w:shd w:val="clear" w:color="auto" w:fill="FFFFFF"/>
        </w:rPr>
      </w:pPr>
      <w:r w:rsidRPr="00863472">
        <w:rPr>
          <w:b/>
          <w:sz w:val="48"/>
          <w:szCs w:val="48"/>
          <w:shd w:val="clear" w:color="auto" w:fill="FFFFFF"/>
        </w:rPr>
        <w:t> </w:t>
      </w:r>
      <w:r w:rsidRPr="00863472">
        <w:rPr>
          <w:rFonts w:ascii="Arial" w:hAnsi="Arial" w:cs="Arial"/>
          <w:b/>
          <w:sz w:val="48"/>
          <w:szCs w:val="48"/>
          <w:shd w:val="clear" w:color="auto" w:fill="FFFFFF"/>
        </w:rPr>
        <w:t xml:space="preserve">NARUSZENIE PRYWATNOŚCI DOTYCZĄCE NIEODPOWIEDNIEGO LUB NIEZGODNEGO Z PRAWEM WYKORZYSTANIA DANYCH </w:t>
      </w:r>
      <w:proofErr w:type="gramStart"/>
      <w:r w:rsidRPr="00863472">
        <w:rPr>
          <w:rFonts w:ascii="Arial" w:hAnsi="Arial" w:cs="Arial"/>
          <w:b/>
          <w:sz w:val="48"/>
          <w:szCs w:val="48"/>
          <w:shd w:val="clear" w:color="auto" w:fill="FFFFFF"/>
        </w:rPr>
        <w:t>OSOBOWYCH  LUB</w:t>
      </w:r>
      <w:proofErr w:type="gramEnd"/>
      <w:r w:rsidRPr="00863472">
        <w:rPr>
          <w:rFonts w:ascii="Arial" w:hAnsi="Arial" w:cs="Arial"/>
          <w:b/>
          <w:sz w:val="48"/>
          <w:szCs w:val="48"/>
          <w:shd w:val="clear" w:color="auto" w:fill="FFFFFF"/>
        </w:rPr>
        <w:t xml:space="preserve"> WIZERUNKU DZIECKA I PRACOWNIKA SZKOŁY</w:t>
      </w:r>
    </w:p>
    <w:p w14:paraId="1A79D880" w14:textId="77777777" w:rsidR="001E3F0B" w:rsidRPr="00863472" w:rsidRDefault="001E3F0B" w:rsidP="001E3F0B">
      <w:pPr>
        <w:spacing w:after="145" w:line="259" w:lineRule="auto"/>
        <w:ind w:left="567" w:right="0" w:hanging="207"/>
        <w:jc w:val="center"/>
        <w:rPr>
          <w:rFonts w:ascii="Arial" w:hAnsi="Arial" w:cs="Arial"/>
          <w:b/>
          <w:sz w:val="48"/>
          <w:szCs w:val="48"/>
          <w:shd w:val="clear" w:color="auto" w:fill="FFFFFF"/>
        </w:rPr>
      </w:pPr>
      <w:r w:rsidRPr="00863472">
        <w:rPr>
          <w:rFonts w:ascii="Arial" w:hAnsi="Arial" w:cs="Arial"/>
          <w:b/>
          <w:sz w:val="48"/>
          <w:szCs w:val="48"/>
          <w:shd w:val="clear" w:color="auto" w:fill="FFFFFF"/>
        </w:rPr>
        <w:t>w</w:t>
      </w:r>
    </w:p>
    <w:p w14:paraId="4F736F8E" w14:textId="77777777" w:rsidR="001E3F0B" w:rsidRPr="00863472" w:rsidRDefault="001E3F0B" w:rsidP="001E3F0B">
      <w:pPr>
        <w:spacing w:after="145" w:line="259" w:lineRule="auto"/>
        <w:ind w:left="567" w:right="0" w:hanging="207"/>
        <w:jc w:val="center"/>
        <w:rPr>
          <w:rFonts w:ascii="Arial" w:hAnsi="Arial" w:cs="Arial"/>
          <w:b/>
          <w:sz w:val="48"/>
          <w:szCs w:val="48"/>
          <w:shd w:val="clear" w:color="auto" w:fill="FFFFFF"/>
        </w:rPr>
      </w:pPr>
      <w:r w:rsidRPr="00863472">
        <w:rPr>
          <w:rFonts w:ascii="Arial" w:hAnsi="Arial" w:cs="Arial"/>
          <w:b/>
          <w:sz w:val="48"/>
          <w:szCs w:val="48"/>
          <w:shd w:val="clear" w:color="auto" w:fill="FFFFFF"/>
        </w:rPr>
        <w:t xml:space="preserve">SZKOLE PODSTAWOWEJ W STOŁPIU </w:t>
      </w:r>
      <w:r w:rsidRPr="00863472">
        <w:rPr>
          <w:rFonts w:ascii="Arial" w:hAnsi="Arial" w:cs="Arial"/>
          <w:b/>
          <w:sz w:val="48"/>
          <w:szCs w:val="48"/>
          <w:shd w:val="clear" w:color="auto" w:fill="FFFFFF"/>
        </w:rPr>
        <w:br/>
        <w:t xml:space="preserve">IM. MARII SKŁODOWSKIEJ-CURIE </w:t>
      </w:r>
      <w:r w:rsidRPr="00863472">
        <w:rPr>
          <w:rFonts w:ascii="Arial" w:hAnsi="Arial" w:cs="Arial"/>
          <w:b/>
          <w:sz w:val="48"/>
          <w:szCs w:val="48"/>
          <w:shd w:val="clear" w:color="auto" w:fill="FFFFFF"/>
        </w:rPr>
        <w:br/>
        <w:t>z oddziałami przedszkolnymi</w:t>
      </w:r>
    </w:p>
    <w:p w14:paraId="1A8B7840" w14:textId="77777777" w:rsidR="001E3F0B" w:rsidRPr="00863472" w:rsidRDefault="001E3F0B" w:rsidP="001E3F0B">
      <w:pPr>
        <w:spacing w:after="145" w:line="259" w:lineRule="auto"/>
        <w:ind w:left="567" w:right="0" w:hanging="207"/>
        <w:jc w:val="center"/>
        <w:rPr>
          <w:rFonts w:ascii="Arial" w:hAnsi="Arial" w:cs="Arial"/>
          <w:sz w:val="72"/>
          <w:szCs w:val="72"/>
          <w:shd w:val="clear" w:color="auto" w:fill="FFFFFF"/>
        </w:rPr>
      </w:pPr>
    </w:p>
    <w:p w14:paraId="7390E4AC" w14:textId="77777777" w:rsidR="001E3F0B" w:rsidRPr="00863472" w:rsidRDefault="001E3F0B" w:rsidP="001E3F0B">
      <w:pPr>
        <w:spacing w:after="145" w:line="259" w:lineRule="auto"/>
        <w:ind w:left="0" w:right="0" w:firstLine="0"/>
        <w:rPr>
          <w:sz w:val="24"/>
          <w:szCs w:val="24"/>
        </w:rPr>
      </w:pPr>
    </w:p>
    <w:p w14:paraId="18A187E2" w14:textId="77777777" w:rsidR="001E3F0B" w:rsidRPr="00863472" w:rsidRDefault="001E3F0B" w:rsidP="001E3F0B">
      <w:pPr>
        <w:spacing w:after="145" w:line="259" w:lineRule="auto"/>
        <w:ind w:left="360" w:right="0" w:firstLine="0"/>
        <w:jc w:val="center"/>
        <w:rPr>
          <w:sz w:val="24"/>
          <w:szCs w:val="24"/>
        </w:rPr>
      </w:pPr>
      <w:r w:rsidRPr="00863472">
        <w:rPr>
          <w:sz w:val="24"/>
          <w:szCs w:val="24"/>
        </w:rPr>
        <w:br/>
        <w:t>Stołpie 2019</w:t>
      </w:r>
    </w:p>
    <w:p w14:paraId="07E6A413" w14:textId="77777777" w:rsidR="001E3F0B" w:rsidRDefault="001E3F0B" w:rsidP="001E3F0B">
      <w:pPr>
        <w:spacing w:after="0" w:line="259" w:lineRule="auto"/>
        <w:ind w:left="0" w:right="196" w:firstLine="0"/>
        <w:jc w:val="left"/>
      </w:pPr>
    </w:p>
    <w:p w14:paraId="36311E81" w14:textId="77777777" w:rsidR="001E3F0B" w:rsidRDefault="001E3F0B" w:rsidP="001E3F0B">
      <w:pPr>
        <w:spacing w:after="0" w:line="259" w:lineRule="auto"/>
        <w:ind w:left="0" w:right="196" w:firstLine="0"/>
        <w:jc w:val="left"/>
      </w:pPr>
    </w:p>
    <w:p w14:paraId="156C1E25" w14:textId="77777777" w:rsidR="001E3F0B" w:rsidRPr="00D93CDC" w:rsidRDefault="001E3F0B" w:rsidP="001E3F0B">
      <w:pPr>
        <w:spacing w:after="0" w:line="259" w:lineRule="auto"/>
        <w:ind w:left="0" w:right="196" w:firstLine="0"/>
        <w:jc w:val="left"/>
        <w:rPr>
          <w:b/>
          <w:bCs/>
          <w:u w:val="single"/>
        </w:rPr>
      </w:pPr>
      <w:bookmarkStart w:id="0" w:name="_Hlk24486107"/>
      <w:r w:rsidRPr="00D93CDC">
        <w:rPr>
          <w:b/>
          <w:bCs/>
          <w:u w:val="single"/>
        </w:rPr>
        <w:t xml:space="preserve">Procedura </w:t>
      </w:r>
      <w:proofErr w:type="gramStart"/>
      <w:r w:rsidRPr="00D93CDC">
        <w:rPr>
          <w:b/>
          <w:bCs/>
          <w:u w:val="single"/>
        </w:rPr>
        <w:t>postepowania  w</w:t>
      </w:r>
      <w:proofErr w:type="gramEnd"/>
      <w:r w:rsidRPr="00D93CDC">
        <w:rPr>
          <w:b/>
          <w:bCs/>
          <w:u w:val="single"/>
        </w:rPr>
        <w:t xml:space="preserve"> przypadku naruszenia prywatności dotyczące nieodpowiedniego lub niezgodnego z prawem wykorzystania danych osobowych lub wizerunku dziecka i pracownika szkoły  </w:t>
      </w:r>
    </w:p>
    <w:bookmarkEnd w:id="0"/>
    <w:p w14:paraId="6FCD3EC4" w14:textId="77777777" w:rsidR="001E3F0B" w:rsidRPr="00863472" w:rsidRDefault="001E3F0B" w:rsidP="001E3F0B">
      <w:pPr>
        <w:spacing w:after="0" w:line="259" w:lineRule="auto"/>
        <w:ind w:left="0" w:right="196" w:firstLine="0"/>
        <w:jc w:val="left"/>
      </w:pPr>
    </w:p>
    <w:tbl>
      <w:tblPr>
        <w:tblStyle w:val="TableGrid"/>
        <w:tblW w:w="9286" w:type="dxa"/>
        <w:tblInd w:w="254" w:type="dxa"/>
        <w:tblCellMar>
          <w:top w:w="96" w:type="dxa"/>
          <w:left w:w="76" w:type="dxa"/>
          <w:right w:w="51" w:type="dxa"/>
        </w:tblCellMar>
        <w:tblLook w:val="04A0" w:firstRow="1" w:lastRow="0" w:firstColumn="1" w:lastColumn="0" w:noHBand="0" w:noVBand="1"/>
      </w:tblPr>
      <w:tblGrid>
        <w:gridCol w:w="2093"/>
        <w:gridCol w:w="33"/>
        <w:gridCol w:w="7160"/>
      </w:tblGrid>
      <w:tr w:rsidR="001E3F0B" w:rsidRPr="00863472" w14:paraId="5D3A317D" w14:textId="77777777" w:rsidTr="00A752FF">
        <w:trPr>
          <w:trHeight w:val="123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2FEDD06D" w14:textId="77777777" w:rsidR="001E3F0B" w:rsidRPr="00863472" w:rsidRDefault="001E3F0B" w:rsidP="00A752FF">
            <w:pPr>
              <w:spacing w:after="0" w:line="259" w:lineRule="auto"/>
              <w:ind w:left="4" w:right="0" w:firstLine="0"/>
              <w:jc w:val="center"/>
            </w:pPr>
          </w:p>
        </w:tc>
        <w:tc>
          <w:tcPr>
            <w:tcW w:w="7161" w:type="dxa"/>
            <w:tcBorders>
              <w:top w:val="single" w:sz="4" w:space="0" w:color="000000"/>
              <w:left w:val="single" w:sz="4" w:space="0" w:color="000000"/>
              <w:bottom w:val="single" w:sz="4" w:space="0" w:color="000000"/>
              <w:right w:val="single" w:sz="4" w:space="0" w:color="000000"/>
            </w:tcBorders>
            <w:shd w:val="clear" w:color="auto" w:fill="E7E6E6"/>
          </w:tcPr>
          <w:p w14:paraId="5161BCBD" w14:textId="77777777" w:rsidR="001E3F0B" w:rsidRPr="00863472" w:rsidRDefault="001E3F0B" w:rsidP="00A752FF">
            <w:pPr>
              <w:spacing w:after="8" w:line="259" w:lineRule="auto"/>
              <w:ind w:left="6" w:right="0" w:firstLine="0"/>
              <w:jc w:val="center"/>
            </w:pPr>
            <w:r w:rsidRPr="00863472">
              <w:rPr>
                <w:b/>
                <w:sz w:val="28"/>
              </w:rPr>
              <w:t>N</w:t>
            </w:r>
            <w:r w:rsidRPr="00863472">
              <w:rPr>
                <w:b/>
              </w:rPr>
              <w:t xml:space="preserve">ARUSZENIA PRYWATNOŚCI DOTYCZĄCE NIEODPOWIEDNIEGO </w:t>
            </w:r>
          </w:p>
          <w:p w14:paraId="2D928204" w14:textId="77777777" w:rsidR="001E3F0B" w:rsidRPr="00863472" w:rsidRDefault="001E3F0B" w:rsidP="00A752FF">
            <w:pPr>
              <w:spacing w:after="120" w:line="259" w:lineRule="auto"/>
              <w:ind w:left="4" w:right="0" w:firstLine="0"/>
              <w:jc w:val="center"/>
            </w:pPr>
            <w:r w:rsidRPr="00863472">
              <w:rPr>
                <w:b/>
              </w:rPr>
              <w:t xml:space="preserve">BĄDŹ NIEZGODNEGO Z PRAWEM WYKORZYSTANIA DANYCH </w:t>
            </w:r>
          </w:p>
          <w:p w14:paraId="6892A7BF" w14:textId="77777777" w:rsidR="001E3F0B" w:rsidRPr="00863472" w:rsidRDefault="001E3F0B" w:rsidP="00A752FF">
            <w:pPr>
              <w:spacing w:after="0" w:line="259" w:lineRule="auto"/>
              <w:ind w:left="5" w:right="0" w:firstLine="0"/>
              <w:jc w:val="center"/>
            </w:pPr>
            <w:r w:rsidRPr="00863472">
              <w:rPr>
                <w:b/>
              </w:rPr>
              <w:t xml:space="preserve">OSOBOWYCH LUB WIZERUNKU DZIECKA I PRACOWNIKA SZKOŁY </w:t>
            </w:r>
            <w:r w:rsidRPr="00863472">
              <w:rPr>
                <w:b/>
                <w:sz w:val="28"/>
              </w:rPr>
              <w:t xml:space="preserve"> </w:t>
            </w:r>
          </w:p>
        </w:tc>
      </w:tr>
      <w:tr w:rsidR="001E3F0B" w:rsidRPr="00863472" w14:paraId="702EB49F" w14:textId="77777777" w:rsidTr="00A752FF">
        <w:trPr>
          <w:trHeight w:val="930"/>
        </w:trPr>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1C895FDB" w14:textId="77777777" w:rsidR="001E3F0B" w:rsidRPr="00863472" w:rsidRDefault="001E3F0B" w:rsidP="00A752FF">
            <w:pPr>
              <w:spacing w:after="0" w:line="259" w:lineRule="auto"/>
              <w:ind w:left="2" w:right="0" w:hanging="2"/>
              <w:jc w:val="center"/>
            </w:pPr>
            <w:r w:rsidRPr="00863472">
              <w:rPr>
                <w:b/>
                <w:sz w:val="20"/>
              </w:rPr>
              <w:t xml:space="preserve">Podstawy prawne uruchomienia procedury </w:t>
            </w:r>
            <w:r w:rsidRPr="00863472">
              <w:rPr>
                <w:b/>
                <w:sz w:val="28"/>
              </w:rPr>
              <w:t xml:space="preserve"> </w:t>
            </w:r>
          </w:p>
        </w:tc>
        <w:tc>
          <w:tcPr>
            <w:tcW w:w="7161" w:type="dxa"/>
            <w:tcBorders>
              <w:top w:val="single" w:sz="4" w:space="0" w:color="000000"/>
              <w:left w:val="single" w:sz="4" w:space="0" w:color="000000"/>
              <w:bottom w:val="single" w:sz="4" w:space="0" w:color="000000"/>
              <w:right w:val="single" w:sz="4" w:space="0" w:color="000000"/>
            </w:tcBorders>
            <w:vAlign w:val="center"/>
          </w:tcPr>
          <w:p w14:paraId="5D2F070F" w14:textId="77777777" w:rsidR="001E3F0B" w:rsidRPr="00863472" w:rsidRDefault="001E3F0B" w:rsidP="00A752FF">
            <w:pPr>
              <w:spacing w:after="0" w:line="259" w:lineRule="auto"/>
              <w:ind w:left="62" w:right="0" w:firstLine="0"/>
              <w:jc w:val="left"/>
            </w:pPr>
            <w:r w:rsidRPr="00863472">
              <w:rPr>
                <w:sz w:val="20"/>
              </w:rPr>
              <w:t xml:space="preserve">Kodeks Karny (art. </w:t>
            </w:r>
            <w:proofErr w:type="spellStart"/>
            <w:r w:rsidRPr="00863472">
              <w:rPr>
                <w:sz w:val="20"/>
              </w:rPr>
              <w:t>190a</w:t>
            </w:r>
            <w:proofErr w:type="spellEnd"/>
            <w:r w:rsidRPr="00863472">
              <w:rPr>
                <w:sz w:val="20"/>
              </w:rPr>
              <w:t xml:space="preserve"> par. 2) </w:t>
            </w:r>
          </w:p>
        </w:tc>
      </w:tr>
      <w:tr w:rsidR="001E3F0B" w:rsidRPr="00863472" w14:paraId="276A8D40" w14:textId="77777777" w:rsidTr="00A752FF">
        <w:trPr>
          <w:trHeight w:val="3463"/>
        </w:trPr>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4AD4205C" w14:textId="77777777" w:rsidR="001E3F0B" w:rsidRPr="00863472" w:rsidRDefault="001E3F0B" w:rsidP="00A752FF">
            <w:pPr>
              <w:spacing w:after="0" w:line="259" w:lineRule="auto"/>
              <w:ind w:left="0" w:right="0" w:firstLine="0"/>
              <w:jc w:val="center"/>
            </w:pPr>
            <w:r w:rsidRPr="00863472">
              <w:rPr>
                <w:b/>
                <w:sz w:val="20"/>
              </w:rPr>
              <w:t xml:space="preserve">Rodzaj zagrożenia objętego procedurą  </w:t>
            </w:r>
          </w:p>
        </w:tc>
        <w:tc>
          <w:tcPr>
            <w:tcW w:w="7161" w:type="dxa"/>
            <w:tcBorders>
              <w:top w:val="single" w:sz="4" w:space="0" w:color="000000"/>
              <w:left w:val="single" w:sz="4" w:space="0" w:color="000000"/>
              <w:bottom w:val="single" w:sz="4" w:space="0" w:color="000000"/>
              <w:right w:val="single" w:sz="4" w:space="0" w:color="000000"/>
            </w:tcBorders>
            <w:vAlign w:val="center"/>
          </w:tcPr>
          <w:p w14:paraId="46EA5924" w14:textId="77777777" w:rsidR="001E3F0B" w:rsidRPr="00863472" w:rsidRDefault="001E3F0B" w:rsidP="00A752FF">
            <w:pPr>
              <w:spacing w:after="0" w:line="259" w:lineRule="auto"/>
              <w:ind w:left="62" w:right="56" w:firstLine="0"/>
            </w:pPr>
            <w:r w:rsidRPr="00863472">
              <w:rPr>
                <w:sz w:val="20"/>
              </w:rPr>
              <w:t xml:space="preserve">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społecznościowym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 </w:t>
            </w:r>
            <w:proofErr w:type="spellStart"/>
            <w:r w:rsidRPr="00863472">
              <w:rPr>
                <w:sz w:val="20"/>
              </w:rPr>
              <w:t>premium</w:t>
            </w:r>
            <w:proofErr w:type="spellEnd"/>
            <w:r w:rsidRPr="00863472">
              <w:rPr>
                <w:sz w:val="20"/>
              </w:rPr>
              <w:t xml:space="preserve"> SMS). Często naruszenia prywatności łączy się z cyberprzemocą.  </w:t>
            </w:r>
          </w:p>
        </w:tc>
      </w:tr>
      <w:tr w:rsidR="001E3F0B" w:rsidRPr="00863472" w14:paraId="14915F1F" w14:textId="77777777" w:rsidTr="00A752FF">
        <w:trPr>
          <w:trHeight w:val="653"/>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DB99B8E" w14:textId="77777777" w:rsidR="001E3F0B" w:rsidRPr="00863472" w:rsidRDefault="001E3F0B" w:rsidP="00A752FF">
            <w:pPr>
              <w:spacing w:after="0" w:line="259" w:lineRule="auto"/>
              <w:ind w:left="0" w:right="34" w:firstLine="0"/>
              <w:jc w:val="center"/>
            </w:pPr>
            <w:r w:rsidRPr="00863472">
              <w:rPr>
                <w:b/>
                <w:sz w:val="20"/>
              </w:rPr>
              <w:t xml:space="preserve">SPOSÓB POSTĘPOWANIA W PRZYPADKU WYSTĄPIENIA ZAGROŻENIA  </w:t>
            </w:r>
          </w:p>
        </w:tc>
      </w:tr>
      <w:tr w:rsidR="001E3F0B" w:rsidRPr="00863472" w14:paraId="704A9C72" w14:textId="77777777" w:rsidTr="00A752FF">
        <w:trPr>
          <w:trHeight w:val="2783"/>
        </w:trPr>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7FAD525" w14:textId="77777777" w:rsidR="001E3F0B" w:rsidRPr="00863472" w:rsidRDefault="001E3F0B" w:rsidP="00A752FF">
            <w:pPr>
              <w:spacing w:after="2" w:line="257" w:lineRule="auto"/>
              <w:ind w:left="491" w:right="0" w:hanging="451"/>
              <w:jc w:val="left"/>
            </w:pPr>
            <w:r w:rsidRPr="00863472">
              <w:rPr>
                <w:b/>
                <w:sz w:val="20"/>
              </w:rPr>
              <w:t>Przyjęcie zgłoszenia i ustalenie</w:t>
            </w:r>
            <w:r w:rsidRPr="00863472">
              <w:rPr>
                <w:sz w:val="20"/>
              </w:rPr>
              <w:t xml:space="preserve"> </w:t>
            </w:r>
          </w:p>
          <w:p w14:paraId="5CCFBEB6" w14:textId="77777777" w:rsidR="001E3F0B" w:rsidRPr="00863472" w:rsidRDefault="001E3F0B" w:rsidP="00A752FF">
            <w:pPr>
              <w:spacing w:after="0" w:line="259" w:lineRule="auto"/>
              <w:ind w:left="516" w:right="0" w:hanging="118"/>
              <w:jc w:val="left"/>
            </w:pPr>
            <w:r w:rsidRPr="00863472">
              <w:rPr>
                <w:b/>
                <w:sz w:val="20"/>
              </w:rPr>
              <w:t xml:space="preserve">okoliczności zdarzenia </w:t>
            </w:r>
          </w:p>
        </w:tc>
        <w:tc>
          <w:tcPr>
            <w:tcW w:w="7161" w:type="dxa"/>
            <w:tcBorders>
              <w:top w:val="single" w:sz="4" w:space="0" w:color="000000"/>
              <w:left w:val="single" w:sz="4" w:space="0" w:color="000000"/>
              <w:bottom w:val="single" w:sz="4" w:space="0" w:color="000000"/>
              <w:right w:val="single" w:sz="4" w:space="0" w:color="000000"/>
            </w:tcBorders>
            <w:vAlign w:val="center"/>
          </w:tcPr>
          <w:p w14:paraId="28D436E4" w14:textId="77777777" w:rsidR="001E3F0B" w:rsidRPr="00863472" w:rsidRDefault="001E3F0B" w:rsidP="00A752FF">
            <w:pPr>
              <w:spacing w:after="0" w:line="259" w:lineRule="auto"/>
              <w:ind w:left="0" w:right="60" w:firstLine="0"/>
            </w:pPr>
            <w:r w:rsidRPr="00863472">
              <w:rPr>
                <w:sz w:val="20"/>
              </w:rPr>
              <w:t xml:space="preserve">Gdy sprawcą jest uczeń - kolega ofiary ze szkoły czy klasy, uczniowie lub rodzice winni skontaktować się z dyrektorem szkoły, wychowawcą lub Szkolnym Mentorem Bezpieczeństwa Cyfrowego.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 </w:t>
            </w:r>
          </w:p>
        </w:tc>
      </w:tr>
      <w:tr w:rsidR="001E3F0B" w:rsidRPr="00863472" w14:paraId="158F2A2D" w14:textId="77777777" w:rsidTr="00A752FF">
        <w:trPr>
          <w:trHeight w:val="480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7960B686" w14:textId="77777777" w:rsidR="001E3F0B" w:rsidRPr="00863472" w:rsidRDefault="001E3F0B" w:rsidP="00A752FF">
            <w:pPr>
              <w:spacing w:after="0" w:line="260" w:lineRule="auto"/>
              <w:ind w:left="614" w:right="0" w:hanging="468"/>
              <w:jc w:val="left"/>
            </w:pPr>
            <w:r w:rsidRPr="00863472">
              <w:rPr>
                <w:b/>
                <w:sz w:val="20"/>
              </w:rPr>
              <w:lastRenderedPageBreak/>
              <w:t xml:space="preserve">Opis okoliczności, analiza, </w:t>
            </w:r>
          </w:p>
          <w:p w14:paraId="0E472F4A" w14:textId="77777777" w:rsidR="001E3F0B" w:rsidRPr="00863472" w:rsidRDefault="001E3F0B" w:rsidP="00A752FF">
            <w:pPr>
              <w:spacing w:after="0" w:line="259" w:lineRule="auto"/>
              <w:ind w:left="517" w:right="0" w:hanging="247"/>
              <w:jc w:val="left"/>
            </w:pPr>
            <w:r w:rsidRPr="00863472">
              <w:rPr>
                <w:b/>
                <w:sz w:val="20"/>
              </w:rPr>
              <w:t xml:space="preserve">zabezpieczenie dowodów </w:t>
            </w:r>
          </w:p>
        </w:tc>
        <w:tc>
          <w:tcPr>
            <w:tcW w:w="7161" w:type="dxa"/>
            <w:tcBorders>
              <w:top w:val="single" w:sz="4" w:space="0" w:color="000000"/>
              <w:left w:val="single" w:sz="4" w:space="0" w:color="000000"/>
              <w:bottom w:val="single" w:sz="4" w:space="0" w:color="000000"/>
              <w:right w:val="single" w:sz="4" w:space="0" w:color="000000"/>
            </w:tcBorders>
            <w:vAlign w:val="center"/>
          </w:tcPr>
          <w:p w14:paraId="5BEDE00E" w14:textId="77777777" w:rsidR="001E3F0B" w:rsidRPr="00863472" w:rsidRDefault="001E3F0B" w:rsidP="00A752FF">
            <w:pPr>
              <w:spacing w:after="81" w:line="258" w:lineRule="auto"/>
              <w:ind w:left="0" w:right="58" w:firstLine="0"/>
            </w:pPr>
            <w:r w:rsidRPr="00863472">
              <w:rPr>
                <w:sz w:val="20"/>
              </w:rPr>
              <w:t xml:space="preserve">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 działaniu tym ucznia i/lub jego rodzica/opiekuna prawnego powinien wspierać Szkolny </w:t>
            </w:r>
            <w:proofErr w:type="gramStart"/>
            <w:r w:rsidRPr="00863472">
              <w:rPr>
                <w:sz w:val="20"/>
              </w:rPr>
              <w:t>Mentor  Bezpieczeństwa</w:t>
            </w:r>
            <w:proofErr w:type="gramEnd"/>
            <w:r w:rsidRPr="00863472">
              <w:rPr>
                <w:sz w:val="20"/>
              </w:rPr>
              <w:t xml:space="preserve"> Cyfrowego.  </w:t>
            </w:r>
          </w:p>
          <w:p w14:paraId="4FB95F70" w14:textId="77777777" w:rsidR="001E3F0B" w:rsidRPr="00863472" w:rsidRDefault="001E3F0B" w:rsidP="00A752FF">
            <w:pPr>
              <w:spacing w:after="0" w:line="259" w:lineRule="auto"/>
              <w:ind w:left="0" w:right="57" w:firstLine="0"/>
            </w:pPr>
            <w:r w:rsidRPr="00863472">
              <w:rPr>
                <w:sz w:val="20"/>
              </w:rPr>
              <w:t xml:space="preserve">Jeśli wykradzione dane zostały wykorzystane w celu naruszenia dobrego wizerunku </w:t>
            </w:r>
            <w:proofErr w:type="gramStart"/>
            <w:r w:rsidRPr="00863472">
              <w:rPr>
                <w:sz w:val="20"/>
              </w:rPr>
              <w:t>ofiary,</w:t>
            </w:r>
            <w:proofErr w:type="gramEnd"/>
            <w:r w:rsidRPr="00863472">
              <w:rPr>
                <w:sz w:val="20"/>
              </w:rPr>
              <w:t xml:space="preserve"> bądź w innych celach niezgodnych z prawem należy dążyć do wyjaśnienia tych działań i usunięcia ich skutków, także tych widocznych 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w:t>
            </w:r>
            <w:r w:rsidRPr="00863472">
              <w:rPr>
                <w:i/>
                <w:sz w:val="20"/>
              </w:rPr>
              <w:t>online</w:t>
            </w:r>
            <w:r w:rsidRPr="00863472">
              <w:rPr>
                <w:sz w:val="20"/>
              </w:rPr>
              <w:t xml:space="preserve"> lub dokonania transakcji finansowych. W tym przypadku należy skontaktować się ze sklepem lub pożyczkodawcą i wyjaśnić charakter zdarzenia.   </w:t>
            </w:r>
          </w:p>
        </w:tc>
      </w:tr>
      <w:tr w:rsidR="001E3F0B" w:rsidRPr="00863472" w14:paraId="099F6BCB" w14:textId="77777777" w:rsidTr="00A752FF">
        <w:trPr>
          <w:trHeight w:val="2024"/>
        </w:trPr>
        <w:tc>
          <w:tcPr>
            <w:tcW w:w="2093" w:type="dxa"/>
            <w:tcBorders>
              <w:top w:val="single" w:sz="4" w:space="0" w:color="000000"/>
              <w:left w:val="single" w:sz="4" w:space="0" w:color="000000"/>
              <w:bottom w:val="single" w:sz="4" w:space="0" w:color="000000"/>
              <w:right w:val="single" w:sz="4" w:space="0" w:color="000000"/>
            </w:tcBorders>
            <w:vAlign w:val="center"/>
          </w:tcPr>
          <w:p w14:paraId="3051B5B3" w14:textId="77777777" w:rsidR="001E3F0B" w:rsidRPr="00863472" w:rsidRDefault="001E3F0B" w:rsidP="00A752FF">
            <w:pPr>
              <w:spacing w:after="0" w:line="259" w:lineRule="auto"/>
              <w:ind w:left="0" w:right="0" w:firstLine="0"/>
              <w:jc w:val="center"/>
            </w:pPr>
            <w:r w:rsidRPr="00863472">
              <w:rPr>
                <w:b/>
                <w:sz w:val="20"/>
              </w:rPr>
              <w:t xml:space="preserve">Identyfikacja sprawcy(-ów) </w:t>
            </w:r>
          </w:p>
        </w:tc>
        <w:tc>
          <w:tcPr>
            <w:tcW w:w="7193" w:type="dxa"/>
            <w:gridSpan w:val="2"/>
            <w:tcBorders>
              <w:top w:val="single" w:sz="4" w:space="0" w:color="000000"/>
              <w:left w:val="single" w:sz="4" w:space="0" w:color="000000"/>
              <w:bottom w:val="single" w:sz="4" w:space="0" w:color="000000"/>
              <w:right w:val="single" w:sz="4" w:space="0" w:color="000000"/>
            </w:tcBorders>
            <w:vAlign w:val="center"/>
          </w:tcPr>
          <w:p w14:paraId="49B45417" w14:textId="77777777" w:rsidR="001E3F0B" w:rsidRPr="00863472" w:rsidRDefault="001E3F0B" w:rsidP="00A752FF">
            <w:pPr>
              <w:spacing w:after="81" w:line="258" w:lineRule="auto"/>
              <w:ind w:left="0" w:right="45" w:firstLine="0"/>
            </w:pPr>
            <w:r w:rsidRPr="00863472">
              <w:rPr>
                <w:sz w:val="20"/>
              </w:rPr>
              <w:t xml:space="preserve">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    </w:t>
            </w:r>
          </w:p>
          <w:p w14:paraId="260ADBCF" w14:textId="77777777" w:rsidR="001E3F0B" w:rsidRPr="00863472" w:rsidRDefault="001E3F0B" w:rsidP="00A752FF">
            <w:pPr>
              <w:spacing w:after="0" w:line="259" w:lineRule="auto"/>
              <w:ind w:left="0" w:right="50" w:firstLine="0"/>
            </w:pPr>
            <w:r w:rsidRPr="00863472">
              <w:rPr>
                <w:sz w:val="20"/>
              </w:rPr>
              <w:t xml:space="preserve">W przypadku znanego sprawcy, który jednak nie działał z powyższych pobudek, szkoła powinna dążyć </w:t>
            </w:r>
            <w:proofErr w:type="gramStart"/>
            <w:r w:rsidRPr="00863472">
              <w:rPr>
                <w:sz w:val="20"/>
              </w:rPr>
              <w:t>do  rozwiązania</w:t>
            </w:r>
            <w:proofErr w:type="gramEnd"/>
            <w:r w:rsidRPr="00863472">
              <w:rPr>
                <w:sz w:val="20"/>
              </w:rPr>
              <w:t xml:space="preserve"> problemu w ramach działań wychowawczo – edukacyjnych uzgodnionych rodzicami.  </w:t>
            </w:r>
            <w:r w:rsidRPr="00863472">
              <w:rPr>
                <w:color w:val="FF0000"/>
                <w:sz w:val="20"/>
              </w:rPr>
              <w:t xml:space="preserve"> </w:t>
            </w:r>
          </w:p>
        </w:tc>
      </w:tr>
      <w:tr w:rsidR="001E3F0B" w:rsidRPr="00863472" w14:paraId="30BBA6F1" w14:textId="77777777" w:rsidTr="00A752FF">
        <w:trPr>
          <w:trHeight w:val="4712"/>
        </w:trPr>
        <w:tc>
          <w:tcPr>
            <w:tcW w:w="2093" w:type="dxa"/>
            <w:tcBorders>
              <w:top w:val="single" w:sz="4" w:space="0" w:color="000000"/>
              <w:left w:val="single" w:sz="4" w:space="0" w:color="000000"/>
              <w:bottom w:val="single" w:sz="4" w:space="0" w:color="000000"/>
              <w:right w:val="single" w:sz="4" w:space="0" w:color="000000"/>
            </w:tcBorders>
            <w:vAlign w:val="center"/>
          </w:tcPr>
          <w:p w14:paraId="43F70B2F" w14:textId="77777777" w:rsidR="001E3F0B" w:rsidRPr="00863472" w:rsidRDefault="001E3F0B" w:rsidP="00A752FF">
            <w:pPr>
              <w:spacing w:after="1" w:line="260" w:lineRule="auto"/>
              <w:ind w:left="0" w:right="0" w:firstLine="0"/>
              <w:jc w:val="center"/>
            </w:pPr>
            <w:r w:rsidRPr="00863472">
              <w:rPr>
                <w:b/>
                <w:sz w:val="20"/>
              </w:rPr>
              <w:t xml:space="preserve">Aktywności wobec sprawców </w:t>
            </w:r>
          </w:p>
          <w:p w14:paraId="7774EC01" w14:textId="77777777" w:rsidR="001E3F0B" w:rsidRPr="00863472" w:rsidRDefault="001E3F0B" w:rsidP="00A752FF">
            <w:pPr>
              <w:spacing w:after="0" w:line="259" w:lineRule="auto"/>
              <w:ind w:left="0" w:right="47" w:firstLine="0"/>
              <w:jc w:val="center"/>
            </w:pPr>
            <w:r w:rsidRPr="00863472">
              <w:rPr>
                <w:b/>
                <w:sz w:val="20"/>
              </w:rPr>
              <w:t xml:space="preserve">zdarzenia   </w:t>
            </w:r>
          </w:p>
          <w:p w14:paraId="5B8ECBB6" w14:textId="77777777" w:rsidR="001E3F0B" w:rsidRPr="00863472" w:rsidRDefault="001E3F0B" w:rsidP="00A752FF">
            <w:pPr>
              <w:spacing w:after="0" w:line="259" w:lineRule="auto"/>
              <w:ind w:left="0" w:right="0" w:firstLine="0"/>
              <w:jc w:val="center"/>
            </w:pPr>
            <w:r w:rsidRPr="00863472">
              <w:rPr>
                <w:b/>
                <w:sz w:val="20"/>
              </w:rPr>
              <w:t xml:space="preserve">ze szkoły/ spoza szkoły  </w:t>
            </w:r>
          </w:p>
        </w:tc>
        <w:tc>
          <w:tcPr>
            <w:tcW w:w="7193" w:type="dxa"/>
            <w:gridSpan w:val="2"/>
            <w:tcBorders>
              <w:top w:val="single" w:sz="4" w:space="0" w:color="000000"/>
              <w:left w:val="single" w:sz="4" w:space="0" w:color="000000"/>
              <w:bottom w:val="single" w:sz="4" w:space="0" w:color="000000"/>
              <w:right w:val="single" w:sz="4" w:space="0" w:color="000000"/>
            </w:tcBorders>
            <w:vAlign w:val="center"/>
          </w:tcPr>
          <w:p w14:paraId="1029EDF2" w14:textId="77777777" w:rsidR="001E3F0B" w:rsidRPr="00863472" w:rsidRDefault="001E3F0B" w:rsidP="00A752FF">
            <w:pPr>
              <w:spacing w:after="80" w:line="258" w:lineRule="auto"/>
              <w:ind w:left="0" w:right="48" w:firstLine="0"/>
            </w:pPr>
            <w:r w:rsidRPr="00863472">
              <w:rPr>
                <w:sz w:val="20"/>
              </w:rPr>
              <w:t xml:space="preserve">Gdy sprawcą incydentu jest uczeń szkoły, należy wobec niego – w porozumieniu z rodzicami – podjąć działania wychowawcze, zmierzające do uświadomienia nieodpowiedniego i nielegalnego charakteru czynów, jakich dokonał. Jednym z elementów takich działań powinny być przeprosiny złożone osobie poszkodowanej.  </w:t>
            </w:r>
          </w:p>
          <w:p w14:paraId="339A14D0" w14:textId="77777777" w:rsidR="001E3F0B" w:rsidRPr="00863472" w:rsidRDefault="001E3F0B" w:rsidP="00A752FF">
            <w:pPr>
              <w:spacing w:after="81" w:line="258" w:lineRule="auto"/>
              <w:ind w:left="0" w:right="45" w:firstLine="0"/>
            </w:pPr>
            <w:r w:rsidRPr="00863472">
              <w:rPr>
                <w:sz w:val="20"/>
              </w:rPr>
              <w:t xml:space="preserve">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w:t>
            </w:r>
          </w:p>
          <w:p w14:paraId="391D365F" w14:textId="77777777" w:rsidR="001E3F0B" w:rsidRPr="00863472" w:rsidRDefault="001E3F0B" w:rsidP="00A752FF">
            <w:pPr>
              <w:spacing w:after="0" w:line="259" w:lineRule="auto"/>
              <w:ind w:left="0" w:right="43" w:firstLine="0"/>
            </w:pPr>
            <w:r w:rsidRPr="00863472">
              <w:rPr>
                <w:sz w:val="20"/>
              </w:rPr>
              <w:t xml:space="preserve">Dyrekcja szkoły winna podjąć decyzje w sprawie powiadomienia o incydencie Policji, biorąc pod uwagę wiek sprawcy, jego dotychczasowe zachowanie, postawę po odkryciu incydentu oraz opinie wychowawcy i pedagoga. 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 prawnego.   </w:t>
            </w:r>
            <w:r w:rsidRPr="00863472">
              <w:t xml:space="preserve"> </w:t>
            </w:r>
          </w:p>
        </w:tc>
      </w:tr>
      <w:tr w:rsidR="001E3F0B" w:rsidRPr="00863472" w14:paraId="7E8FFD0F" w14:textId="77777777" w:rsidTr="00A752FF">
        <w:trPr>
          <w:trHeight w:val="2194"/>
        </w:trPr>
        <w:tc>
          <w:tcPr>
            <w:tcW w:w="2093" w:type="dxa"/>
            <w:tcBorders>
              <w:top w:val="single" w:sz="4" w:space="0" w:color="000000"/>
              <w:left w:val="single" w:sz="4" w:space="0" w:color="000000"/>
              <w:bottom w:val="single" w:sz="4" w:space="0" w:color="000000"/>
              <w:right w:val="single" w:sz="4" w:space="0" w:color="000000"/>
            </w:tcBorders>
            <w:vAlign w:val="center"/>
          </w:tcPr>
          <w:p w14:paraId="2A002985" w14:textId="77777777" w:rsidR="001E3F0B" w:rsidRPr="00863472" w:rsidRDefault="001E3F0B" w:rsidP="00A752FF">
            <w:pPr>
              <w:spacing w:after="0" w:line="259" w:lineRule="auto"/>
              <w:ind w:left="0" w:right="0" w:firstLine="0"/>
              <w:jc w:val="center"/>
            </w:pPr>
            <w:r w:rsidRPr="00863472">
              <w:rPr>
                <w:b/>
                <w:sz w:val="20"/>
              </w:rPr>
              <w:lastRenderedPageBreak/>
              <w:t xml:space="preserve">Aktywności wobec ofiar zdarzenia </w:t>
            </w:r>
          </w:p>
        </w:tc>
        <w:tc>
          <w:tcPr>
            <w:tcW w:w="7193" w:type="dxa"/>
            <w:gridSpan w:val="2"/>
            <w:tcBorders>
              <w:top w:val="single" w:sz="4" w:space="0" w:color="000000"/>
              <w:left w:val="single" w:sz="4" w:space="0" w:color="000000"/>
              <w:bottom w:val="single" w:sz="4" w:space="0" w:color="000000"/>
              <w:right w:val="single" w:sz="4" w:space="0" w:color="000000"/>
            </w:tcBorders>
            <w:vAlign w:val="center"/>
          </w:tcPr>
          <w:p w14:paraId="63458F1B" w14:textId="77777777" w:rsidR="001E3F0B" w:rsidRPr="00863472" w:rsidRDefault="001E3F0B" w:rsidP="00A752FF">
            <w:pPr>
              <w:spacing w:after="0" w:line="259" w:lineRule="auto"/>
              <w:ind w:left="0" w:right="47" w:firstLine="0"/>
            </w:pPr>
            <w:r w:rsidRPr="00863472">
              <w:rPr>
                <w:sz w:val="20"/>
              </w:rPr>
              <w:t xml:space="preserve">Ofiary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w:t>
            </w:r>
            <w:proofErr w:type="gramStart"/>
            <w:r w:rsidRPr="00863472">
              <w:rPr>
                <w:sz w:val="20"/>
              </w:rPr>
              <w:t>bądź  naruszenie</w:t>
            </w:r>
            <w:proofErr w:type="gramEnd"/>
            <w:r w:rsidRPr="00863472">
              <w:rPr>
                <w:sz w:val="20"/>
              </w:rPr>
              <w:t xml:space="preserve"> dobrego wizerunku ofiary jest znane tylko jej i rodzicom, szkoła winna zapewnić poufność działań, tak aby informacje narażające ofiarę na naruszenie wizerunku nie były rozpowszechniane.     </w:t>
            </w:r>
          </w:p>
        </w:tc>
      </w:tr>
      <w:tr w:rsidR="001E3F0B" w:rsidRPr="00863472" w14:paraId="4BF06976" w14:textId="77777777" w:rsidTr="00A752FF">
        <w:trPr>
          <w:trHeight w:val="1183"/>
        </w:trPr>
        <w:tc>
          <w:tcPr>
            <w:tcW w:w="2093" w:type="dxa"/>
            <w:tcBorders>
              <w:top w:val="single" w:sz="4" w:space="0" w:color="000000"/>
              <w:left w:val="single" w:sz="4" w:space="0" w:color="000000"/>
              <w:bottom w:val="single" w:sz="4" w:space="0" w:color="000000"/>
              <w:right w:val="single" w:sz="4" w:space="0" w:color="000000"/>
            </w:tcBorders>
            <w:vAlign w:val="center"/>
          </w:tcPr>
          <w:p w14:paraId="74EC2B1F" w14:textId="77777777" w:rsidR="001E3F0B" w:rsidRPr="00863472" w:rsidRDefault="001E3F0B" w:rsidP="00A752FF">
            <w:pPr>
              <w:spacing w:after="0" w:line="259" w:lineRule="auto"/>
              <w:ind w:left="0" w:right="0" w:firstLine="0"/>
              <w:jc w:val="center"/>
            </w:pPr>
            <w:r w:rsidRPr="00863472">
              <w:rPr>
                <w:b/>
                <w:sz w:val="20"/>
              </w:rPr>
              <w:t xml:space="preserve">Aktywności wobec świadków </w:t>
            </w:r>
          </w:p>
        </w:tc>
        <w:tc>
          <w:tcPr>
            <w:tcW w:w="7193" w:type="dxa"/>
            <w:gridSpan w:val="2"/>
            <w:tcBorders>
              <w:top w:val="single" w:sz="4" w:space="0" w:color="000000"/>
              <w:left w:val="single" w:sz="4" w:space="0" w:color="000000"/>
              <w:bottom w:val="single" w:sz="4" w:space="0" w:color="000000"/>
              <w:right w:val="single" w:sz="4" w:space="0" w:color="000000"/>
            </w:tcBorders>
            <w:vAlign w:val="center"/>
          </w:tcPr>
          <w:p w14:paraId="233F3C13" w14:textId="77777777" w:rsidR="001E3F0B" w:rsidRPr="00863472" w:rsidRDefault="001E3F0B" w:rsidP="00A752FF">
            <w:pPr>
              <w:spacing w:after="0" w:line="259" w:lineRule="auto"/>
              <w:ind w:left="0" w:right="50" w:firstLine="0"/>
            </w:pPr>
            <w:r w:rsidRPr="00863472">
              <w:rPr>
                <w:sz w:val="20"/>
              </w:rPr>
              <w:t xml:space="preserve">Gdy kradzież </w:t>
            </w:r>
            <w:proofErr w:type="gramStart"/>
            <w:r w:rsidRPr="00863472">
              <w:rPr>
                <w:sz w:val="20"/>
              </w:rPr>
              <w:t>tożsamości,</w:t>
            </w:r>
            <w:proofErr w:type="gramEnd"/>
            <w:r w:rsidRPr="00863472">
              <w:rPr>
                <w:sz w:val="20"/>
              </w:rPr>
              <w:t xml:space="preserve"> bądź naruszenie dobrego wizerunku ofiary jest znane szerszemu gronu uczniów szkoły, należy podjąć wobec nich działania wychowawcze, zwracające uwagę na negatywną ocenę naruszania wizerunku ucznia – koleżanki lub kolegi oraz ryzyko penalizacji.     </w:t>
            </w:r>
          </w:p>
        </w:tc>
      </w:tr>
      <w:tr w:rsidR="001E3F0B" w:rsidRPr="00863472" w14:paraId="0EFB4D06" w14:textId="77777777" w:rsidTr="00A752FF">
        <w:trPr>
          <w:trHeight w:val="929"/>
        </w:trPr>
        <w:tc>
          <w:tcPr>
            <w:tcW w:w="2093" w:type="dxa"/>
            <w:tcBorders>
              <w:top w:val="single" w:sz="4" w:space="0" w:color="000000"/>
              <w:left w:val="single" w:sz="4" w:space="0" w:color="000000"/>
              <w:bottom w:val="single" w:sz="4" w:space="0" w:color="000000"/>
              <w:right w:val="single" w:sz="4" w:space="0" w:color="000000"/>
            </w:tcBorders>
            <w:vAlign w:val="center"/>
          </w:tcPr>
          <w:p w14:paraId="610AB56C" w14:textId="77777777" w:rsidR="001E3F0B" w:rsidRPr="00863472" w:rsidRDefault="001E3F0B" w:rsidP="00A752FF">
            <w:pPr>
              <w:spacing w:after="0" w:line="259" w:lineRule="auto"/>
              <w:ind w:left="0" w:right="46" w:firstLine="0"/>
              <w:jc w:val="center"/>
            </w:pPr>
            <w:r w:rsidRPr="00863472">
              <w:rPr>
                <w:b/>
                <w:sz w:val="20"/>
              </w:rPr>
              <w:t xml:space="preserve">Współpraca z </w:t>
            </w:r>
          </w:p>
          <w:p w14:paraId="72DEDD1A" w14:textId="77777777" w:rsidR="001E3F0B" w:rsidRPr="00863472" w:rsidRDefault="001E3F0B" w:rsidP="00A752FF">
            <w:pPr>
              <w:spacing w:after="0" w:line="259" w:lineRule="auto"/>
              <w:ind w:left="0" w:right="0" w:firstLine="0"/>
              <w:jc w:val="center"/>
            </w:pPr>
            <w:r w:rsidRPr="00863472">
              <w:rPr>
                <w:b/>
                <w:sz w:val="20"/>
              </w:rPr>
              <w:t xml:space="preserve">Policją i sądami rodzinnymi </w:t>
            </w:r>
          </w:p>
        </w:tc>
        <w:tc>
          <w:tcPr>
            <w:tcW w:w="7193" w:type="dxa"/>
            <w:gridSpan w:val="2"/>
            <w:tcBorders>
              <w:top w:val="single" w:sz="4" w:space="0" w:color="000000"/>
              <w:left w:val="single" w:sz="4" w:space="0" w:color="000000"/>
              <w:bottom w:val="single" w:sz="4" w:space="0" w:color="000000"/>
              <w:right w:val="single" w:sz="4" w:space="0" w:color="000000"/>
            </w:tcBorders>
            <w:vAlign w:val="center"/>
          </w:tcPr>
          <w:p w14:paraId="6AD52BB9" w14:textId="77777777" w:rsidR="001E3F0B" w:rsidRPr="00863472" w:rsidRDefault="001E3F0B" w:rsidP="00A752FF">
            <w:pPr>
              <w:spacing w:after="0" w:line="259" w:lineRule="auto"/>
              <w:ind w:left="0" w:right="51" w:firstLine="0"/>
            </w:pPr>
            <w:r w:rsidRPr="00863472">
              <w:rPr>
                <w:sz w:val="20"/>
              </w:rPr>
              <w:t xml:space="preserve">Gdy naruszenie </w:t>
            </w:r>
            <w:proofErr w:type="gramStart"/>
            <w:r w:rsidRPr="00863472">
              <w:rPr>
                <w:sz w:val="20"/>
              </w:rPr>
              <w:t>prywatności,</w:t>
            </w:r>
            <w:proofErr w:type="gramEnd"/>
            <w:r w:rsidRPr="00863472">
              <w:rPr>
                <w:sz w:val="20"/>
              </w:rPr>
              <w:t xml:space="preserve"> czy wyłudzenie lub kradzież tożsamości skutkują wyrządzeniem ofierze szkody majątkowej lub osobistej, rodzice dzieci winni o nim powiadomić Policję.  </w:t>
            </w:r>
          </w:p>
        </w:tc>
      </w:tr>
      <w:tr w:rsidR="001E3F0B" w:rsidRPr="00863472" w14:paraId="29862B8A" w14:textId="77777777" w:rsidTr="00A752FF">
        <w:trPr>
          <w:trHeight w:val="1181"/>
        </w:trPr>
        <w:tc>
          <w:tcPr>
            <w:tcW w:w="2093" w:type="dxa"/>
            <w:tcBorders>
              <w:top w:val="single" w:sz="4" w:space="0" w:color="000000"/>
              <w:left w:val="single" w:sz="4" w:space="0" w:color="000000"/>
              <w:bottom w:val="single" w:sz="4" w:space="0" w:color="000000"/>
              <w:right w:val="single" w:sz="4" w:space="0" w:color="000000"/>
            </w:tcBorders>
            <w:vAlign w:val="center"/>
          </w:tcPr>
          <w:p w14:paraId="59C6998C" w14:textId="77777777" w:rsidR="001E3F0B" w:rsidRPr="00863472" w:rsidRDefault="001E3F0B" w:rsidP="00A752FF">
            <w:pPr>
              <w:spacing w:after="0" w:line="260" w:lineRule="auto"/>
              <w:ind w:left="0" w:right="0" w:firstLine="0"/>
              <w:jc w:val="center"/>
            </w:pPr>
            <w:r w:rsidRPr="00863472">
              <w:rPr>
                <w:b/>
                <w:sz w:val="20"/>
              </w:rPr>
              <w:t xml:space="preserve">Współpraca ze służbami </w:t>
            </w:r>
          </w:p>
          <w:p w14:paraId="32FD7CCE" w14:textId="77777777" w:rsidR="001E3F0B" w:rsidRPr="00863472" w:rsidRDefault="001E3F0B" w:rsidP="00A752FF">
            <w:pPr>
              <w:spacing w:after="0" w:line="259" w:lineRule="auto"/>
              <w:ind w:left="0" w:right="0" w:firstLine="0"/>
              <w:jc w:val="center"/>
            </w:pPr>
            <w:r w:rsidRPr="00863472">
              <w:rPr>
                <w:b/>
                <w:sz w:val="20"/>
              </w:rPr>
              <w:t xml:space="preserve">placówkami specjalistycznymi  </w:t>
            </w:r>
          </w:p>
        </w:tc>
        <w:tc>
          <w:tcPr>
            <w:tcW w:w="7193" w:type="dxa"/>
            <w:gridSpan w:val="2"/>
            <w:tcBorders>
              <w:top w:val="single" w:sz="4" w:space="0" w:color="000000"/>
              <w:left w:val="single" w:sz="4" w:space="0" w:color="000000"/>
              <w:bottom w:val="single" w:sz="4" w:space="0" w:color="000000"/>
              <w:right w:val="single" w:sz="4" w:space="0" w:color="000000"/>
            </w:tcBorders>
          </w:tcPr>
          <w:p w14:paraId="41A9C8B9" w14:textId="77777777" w:rsidR="001E3F0B" w:rsidRPr="00863472" w:rsidRDefault="001E3F0B" w:rsidP="00A752FF">
            <w:pPr>
              <w:spacing w:after="0" w:line="259" w:lineRule="auto"/>
              <w:ind w:left="0" w:right="51" w:firstLine="0"/>
            </w:pPr>
            <w:r w:rsidRPr="00863472">
              <w:rPr>
                <w:sz w:val="20"/>
              </w:rPr>
              <w:t xml:space="preserve">W przypadku konieczności podejmowania dalszych działań pomocowych wobec ofiary, można skierować ucznia, za zgodą i we współpracy z rodzicami, do placówki specjalistycznej, np. terapeutycznej. </w:t>
            </w:r>
          </w:p>
        </w:tc>
      </w:tr>
    </w:tbl>
    <w:p w14:paraId="1B4107CE" w14:textId="77777777" w:rsidR="001E3F0B" w:rsidRPr="00863472" w:rsidRDefault="001E3F0B" w:rsidP="001E3F0B">
      <w:pPr>
        <w:spacing w:after="163" w:line="259" w:lineRule="auto"/>
        <w:ind w:left="360" w:right="0" w:firstLine="0"/>
        <w:jc w:val="left"/>
      </w:pPr>
      <w:r w:rsidRPr="00863472">
        <w:rPr>
          <w:b/>
          <w:sz w:val="2"/>
        </w:rPr>
        <w:t xml:space="preserve"> </w:t>
      </w:r>
    </w:p>
    <w:p w14:paraId="28D525EE" w14:textId="77777777" w:rsidR="001E3F0B" w:rsidRPr="00863472" w:rsidRDefault="001E3F0B" w:rsidP="001E3F0B">
      <w:pPr>
        <w:spacing w:after="350" w:line="259" w:lineRule="auto"/>
        <w:ind w:left="360" w:right="0" w:firstLine="0"/>
        <w:jc w:val="left"/>
        <w:rPr>
          <w:b/>
          <w:sz w:val="2"/>
        </w:rPr>
      </w:pPr>
    </w:p>
    <w:tbl>
      <w:tblPr>
        <w:tblStyle w:val="TableGrid"/>
        <w:tblW w:w="9292" w:type="dxa"/>
        <w:tblInd w:w="247" w:type="dxa"/>
        <w:tblCellMar>
          <w:top w:w="42" w:type="dxa"/>
          <w:left w:w="44" w:type="dxa"/>
        </w:tblCellMar>
        <w:tblLook w:val="04A0" w:firstRow="1" w:lastRow="0" w:firstColumn="1" w:lastColumn="0" w:noHBand="0" w:noVBand="1"/>
      </w:tblPr>
      <w:tblGrid>
        <w:gridCol w:w="2098"/>
        <w:gridCol w:w="7194"/>
      </w:tblGrid>
      <w:tr w:rsidR="001E3F0B" w:rsidRPr="00863472" w14:paraId="015D2C73" w14:textId="77777777" w:rsidTr="00A752FF">
        <w:trPr>
          <w:trHeight w:val="1172"/>
        </w:trPr>
        <w:tc>
          <w:tcPr>
            <w:tcW w:w="2098" w:type="dxa"/>
            <w:tcBorders>
              <w:top w:val="single" w:sz="4" w:space="0" w:color="00000A"/>
              <w:left w:val="single" w:sz="4" w:space="0" w:color="00000A"/>
              <w:bottom w:val="single" w:sz="4" w:space="0" w:color="00000A"/>
              <w:right w:val="single" w:sz="4" w:space="0" w:color="00000A"/>
            </w:tcBorders>
            <w:vAlign w:val="center"/>
          </w:tcPr>
          <w:p w14:paraId="141CE8DD" w14:textId="77777777" w:rsidR="001E3F0B" w:rsidRPr="00863472" w:rsidRDefault="001E3F0B" w:rsidP="00A752FF">
            <w:pPr>
              <w:spacing w:after="0" w:line="256" w:lineRule="auto"/>
              <w:ind w:left="0" w:right="0" w:firstLine="0"/>
              <w:jc w:val="center"/>
            </w:pPr>
            <w:r w:rsidRPr="00863472">
              <w:rPr>
                <w:b/>
                <w:sz w:val="20"/>
              </w:rPr>
              <w:t xml:space="preserve">Współpraca z dostawcami Internetu i operatorami </w:t>
            </w:r>
          </w:p>
          <w:p w14:paraId="341E321D" w14:textId="77777777" w:rsidR="001E3F0B" w:rsidRPr="00863472" w:rsidRDefault="001E3F0B" w:rsidP="00A752FF">
            <w:pPr>
              <w:spacing w:after="0" w:line="259" w:lineRule="auto"/>
              <w:ind w:left="7" w:right="0" w:firstLine="0"/>
            </w:pPr>
            <w:r w:rsidRPr="00863472">
              <w:rPr>
                <w:b/>
                <w:sz w:val="20"/>
              </w:rPr>
              <w:t xml:space="preserve">telekomunikacyjnymi </w:t>
            </w:r>
          </w:p>
        </w:tc>
        <w:tc>
          <w:tcPr>
            <w:tcW w:w="7194" w:type="dxa"/>
            <w:tcBorders>
              <w:top w:val="single" w:sz="4" w:space="0" w:color="00000A"/>
              <w:left w:val="single" w:sz="4" w:space="0" w:color="00000A"/>
              <w:bottom w:val="single" w:sz="4" w:space="0" w:color="00000A"/>
              <w:right w:val="single" w:sz="4" w:space="0" w:color="00000A"/>
            </w:tcBorders>
            <w:vAlign w:val="center"/>
          </w:tcPr>
          <w:p w14:paraId="0575557C" w14:textId="77777777" w:rsidR="001E3F0B" w:rsidRPr="00863472" w:rsidRDefault="001E3F0B" w:rsidP="00A752FF">
            <w:pPr>
              <w:spacing w:after="0" w:line="259" w:lineRule="auto"/>
              <w:ind w:left="67" w:right="110" w:firstLine="0"/>
            </w:pPr>
            <w:r w:rsidRPr="00863472">
              <w:rPr>
                <w:sz w:val="20"/>
              </w:rPr>
              <w:t xml:space="preserve">Kontakt z dostawcą usługi </w:t>
            </w:r>
            <w:proofErr w:type="spellStart"/>
            <w:r w:rsidRPr="00863472">
              <w:rPr>
                <w:sz w:val="20"/>
              </w:rPr>
              <w:t>moz</w:t>
            </w:r>
            <w:proofErr w:type="spellEnd"/>
            <w:r w:rsidRPr="00863472">
              <w:rPr>
                <w:sz w:val="20"/>
              </w:rPr>
              <w:t xml:space="preserve"> e </w:t>
            </w:r>
            <w:proofErr w:type="spellStart"/>
            <w:proofErr w:type="gramStart"/>
            <w:r w:rsidRPr="00863472">
              <w:rPr>
                <w:sz w:val="20"/>
              </w:rPr>
              <w:t>byc</w:t>
            </w:r>
            <w:proofErr w:type="spellEnd"/>
            <w:r w:rsidRPr="00863472">
              <w:rPr>
                <w:sz w:val="20"/>
              </w:rPr>
              <w:t xml:space="preserve">  wskazany</w:t>
            </w:r>
            <w:proofErr w:type="gramEnd"/>
            <w:r w:rsidRPr="00863472">
              <w:rPr>
                <w:sz w:val="20"/>
              </w:rPr>
              <w:t xml:space="preserve"> w celu usunięcia z sieci kompromitujących lub krzywdzących </w:t>
            </w:r>
            <w:proofErr w:type="spellStart"/>
            <w:r w:rsidRPr="00863472">
              <w:rPr>
                <w:sz w:val="20"/>
              </w:rPr>
              <w:t>materiało</w:t>
            </w:r>
            <w:proofErr w:type="spellEnd"/>
            <w:r w:rsidRPr="00863472">
              <w:rPr>
                <w:sz w:val="20"/>
              </w:rPr>
              <w:t xml:space="preserve"> w. Do podjęcia takiego działania stymuluje administratora serwisu art. 14 Ustawy z dnia 18 lipca 2002 r. o s </w:t>
            </w:r>
            <w:proofErr w:type="spellStart"/>
            <w:r w:rsidRPr="00863472">
              <w:rPr>
                <w:sz w:val="20"/>
              </w:rPr>
              <w:t>wiadczeniu</w:t>
            </w:r>
            <w:proofErr w:type="spellEnd"/>
            <w:r w:rsidRPr="00863472">
              <w:rPr>
                <w:sz w:val="20"/>
              </w:rPr>
              <w:t xml:space="preserve"> usług drogą elektroniczną. </w:t>
            </w:r>
          </w:p>
        </w:tc>
      </w:tr>
    </w:tbl>
    <w:p w14:paraId="6E7EE64E" w14:textId="77777777" w:rsidR="001E3F0B" w:rsidRPr="00863472" w:rsidRDefault="001E3F0B" w:rsidP="001E3F0B">
      <w:pPr>
        <w:spacing w:after="145" w:line="259" w:lineRule="auto"/>
        <w:ind w:left="360" w:right="0" w:firstLine="0"/>
        <w:jc w:val="center"/>
      </w:pPr>
    </w:p>
    <w:p w14:paraId="155636D3" w14:textId="77777777" w:rsidR="001E3F0B" w:rsidRPr="00863472" w:rsidRDefault="001E3F0B" w:rsidP="001E3F0B">
      <w:pPr>
        <w:spacing w:after="145" w:line="259" w:lineRule="auto"/>
        <w:ind w:left="360" w:right="0" w:firstLine="0"/>
        <w:jc w:val="center"/>
      </w:pPr>
    </w:p>
    <w:p w14:paraId="2781FEAA" w14:textId="77777777" w:rsidR="001E3F0B" w:rsidRPr="00863472" w:rsidRDefault="001E3F0B" w:rsidP="001E3F0B">
      <w:pPr>
        <w:spacing w:after="145" w:line="259" w:lineRule="auto"/>
        <w:ind w:left="360" w:right="0" w:firstLine="0"/>
        <w:jc w:val="center"/>
      </w:pPr>
    </w:p>
    <w:p w14:paraId="41139A92" w14:textId="77777777" w:rsidR="001E3F0B" w:rsidRPr="00863472" w:rsidRDefault="001E3F0B" w:rsidP="001E3F0B">
      <w:pPr>
        <w:spacing w:after="145" w:line="259" w:lineRule="auto"/>
        <w:ind w:left="360" w:right="0" w:firstLine="0"/>
        <w:jc w:val="center"/>
      </w:pPr>
    </w:p>
    <w:p w14:paraId="281DB293" w14:textId="77777777" w:rsidR="001E3F0B" w:rsidRPr="00863472" w:rsidRDefault="001E3F0B" w:rsidP="001E3F0B">
      <w:pPr>
        <w:spacing w:after="145" w:line="259" w:lineRule="auto"/>
        <w:ind w:left="360" w:right="0" w:firstLine="0"/>
        <w:jc w:val="center"/>
      </w:pPr>
    </w:p>
    <w:p w14:paraId="16587B96" w14:textId="77777777" w:rsidR="001E3F0B" w:rsidRPr="00863472" w:rsidRDefault="001E3F0B" w:rsidP="001E3F0B">
      <w:pPr>
        <w:spacing w:after="145" w:line="259" w:lineRule="auto"/>
        <w:ind w:left="360" w:right="0" w:firstLine="0"/>
        <w:jc w:val="center"/>
      </w:pPr>
    </w:p>
    <w:p w14:paraId="5B89D639" w14:textId="77777777" w:rsidR="001E3F0B" w:rsidRPr="00863472" w:rsidRDefault="001E3F0B" w:rsidP="001E3F0B">
      <w:pPr>
        <w:spacing w:after="145" w:line="259" w:lineRule="auto"/>
        <w:ind w:left="360" w:right="0" w:firstLine="0"/>
        <w:jc w:val="center"/>
      </w:pPr>
    </w:p>
    <w:p w14:paraId="5B95454D" w14:textId="77777777" w:rsidR="00E958E4" w:rsidRPr="001E3F0B" w:rsidRDefault="00E958E4" w:rsidP="001E3F0B"/>
    <w:sectPr w:rsidR="00E958E4" w:rsidRPr="001E3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1C7E"/>
    <w:multiLevelType w:val="hybridMultilevel"/>
    <w:tmpl w:val="817009A6"/>
    <w:lvl w:ilvl="0" w:tplc="8EA2857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D86CBA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008EE3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A7C314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B2020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0844D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D563C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A76D07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6843F0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CB4B05"/>
    <w:multiLevelType w:val="hybridMultilevel"/>
    <w:tmpl w:val="6FF806DE"/>
    <w:lvl w:ilvl="0" w:tplc="C046D72A">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8C3F4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7A828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9A37F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C86EE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D6965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B653E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C0A291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3E5E6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7E0A1E"/>
    <w:multiLevelType w:val="hybridMultilevel"/>
    <w:tmpl w:val="B2BC6504"/>
    <w:lvl w:ilvl="0" w:tplc="CF14ABFE">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DF65F8C">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F24484">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4004C5C">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834F12A">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9667AAC">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340ABE8">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4F4570C">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01E91BA">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AF12BE"/>
    <w:multiLevelType w:val="hybridMultilevel"/>
    <w:tmpl w:val="8D86E35C"/>
    <w:lvl w:ilvl="0" w:tplc="CC7A155C">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903B4C">
      <w:start w:val="1"/>
      <w:numFmt w:val="bullet"/>
      <w:lvlText w:val="o"/>
      <w:lvlJc w:val="left"/>
      <w:pPr>
        <w:ind w:left="1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84E104">
      <w:start w:val="1"/>
      <w:numFmt w:val="bullet"/>
      <w:lvlText w:val="▪"/>
      <w:lvlJc w:val="left"/>
      <w:pPr>
        <w:ind w:left="2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40C38A0">
      <w:start w:val="1"/>
      <w:numFmt w:val="bullet"/>
      <w:lvlText w:val="•"/>
      <w:lvlJc w:val="left"/>
      <w:pPr>
        <w:ind w:left="2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4CF122">
      <w:start w:val="1"/>
      <w:numFmt w:val="bullet"/>
      <w:lvlText w:val="o"/>
      <w:lvlJc w:val="left"/>
      <w:pPr>
        <w:ind w:left="3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78B7FE">
      <w:start w:val="1"/>
      <w:numFmt w:val="bullet"/>
      <w:lvlText w:val="▪"/>
      <w:lvlJc w:val="left"/>
      <w:pPr>
        <w:ind w:left="4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AEFA6C">
      <w:start w:val="1"/>
      <w:numFmt w:val="bullet"/>
      <w:lvlText w:val="•"/>
      <w:lvlJc w:val="left"/>
      <w:pPr>
        <w:ind w:left="5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A23274">
      <w:start w:val="1"/>
      <w:numFmt w:val="bullet"/>
      <w:lvlText w:val="o"/>
      <w:lvlJc w:val="left"/>
      <w:pPr>
        <w:ind w:left="58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D28792">
      <w:start w:val="1"/>
      <w:numFmt w:val="bullet"/>
      <w:lvlText w:val="▪"/>
      <w:lvlJc w:val="left"/>
      <w:pPr>
        <w:ind w:left="65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3D377B"/>
    <w:multiLevelType w:val="hybridMultilevel"/>
    <w:tmpl w:val="52EA2CC4"/>
    <w:lvl w:ilvl="0" w:tplc="CD6C3D3C">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88E1C9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0F2673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965C0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E866D5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F7425B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E803F4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922115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72EC3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DB4E9E"/>
    <w:multiLevelType w:val="hybridMultilevel"/>
    <w:tmpl w:val="86224CCC"/>
    <w:lvl w:ilvl="0" w:tplc="AD1CBB0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6FA113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4E9B6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93C2B0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1E321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90D4E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42078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1C770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7EA10F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CA403B"/>
    <w:multiLevelType w:val="hybridMultilevel"/>
    <w:tmpl w:val="94923706"/>
    <w:lvl w:ilvl="0" w:tplc="4B8EF6AE">
      <w:start w:val="1"/>
      <w:numFmt w:val="decimal"/>
      <w:lvlText w:val="%1)"/>
      <w:lvlJc w:val="left"/>
      <w:pPr>
        <w:ind w:left="7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7C015FC">
      <w:start w:val="1"/>
      <w:numFmt w:val="lowerLetter"/>
      <w:lvlText w:val="%2"/>
      <w:lvlJc w:val="left"/>
      <w:pPr>
        <w:ind w:left="1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43A2E22">
      <w:start w:val="1"/>
      <w:numFmt w:val="lowerRoman"/>
      <w:lvlText w:val="%3"/>
      <w:lvlJc w:val="left"/>
      <w:pPr>
        <w:ind w:left="1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2C81CD0">
      <w:start w:val="1"/>
      <w:numFmt w:val="decimal"/>
      <w:lvlText w:val="%4"/>
      <w:lvlJc w:val="left"/>
      <w:pPr>
        <w:ind w:left="25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EC09292">
      <w:start w:val="1"/>
      <w:numFmt w:val="lowerLetter"/>
      <w:lvlText w:val="%5"/>
      <w:lvlJc w:val="left"/>
      <w:pPr>
        <w:ind w:left="32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BD685B0">
      <w:start w:val="1"/>
      <w:numFmt w:val="lowerRoman"/>
      <w:lvlText w:val="%6"/>
      <w:lvlJc w:val="left"/>
      <w:pPr>
        <w:ind w:left="40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C90E1B6">
      <w:start w:val="1"/>
      <w:numFmt w:val="decimal"/>
      <w:lvlText w:val="%7"/>
      <w:lvlJc w:val="left"/>
      <w:pPr>
        <w:ind w:left="4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8666B60">
      <w:start w:val="1"/>
      <w:numFmt w:val="lowerLetter"/>
      <w:lvlText w:val="%8"/>
      <w:lvlJc w:val="left"/>
      <w:pPr>
        <w:ind w:left="5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5A26BEA">
      <w:start w:val="1"/>
      <w:numFmt w:val="lowerRoman"/>
      <w:lvlText w:val="%9"/>
      <w:lvlJc w:val="left"/>
      <w:pPr>
        <w:ind w:left="6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E1063C"/>
    <w:multiLevelType w:val="hybridMultilevel"/>
    <w:tmpl w:val="A3A201CE"/>
    <w:lvl w:ilvl="0" w:tplc="9992FCE8">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22215C6">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92FBA0">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06F658">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E47ABA">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5AE620">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E8E7AE">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3A6830">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464BB46">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2E37F3"/>
    <w:multiLevelType w:val="hybridMultilevel"/>
    <w:tmpl w:val="2B060FA6"/>
    <w:lvl w:ilvl="0" w:tplc="A780725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1A40A3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229AC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D40E6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4D0CA2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85C003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7ACDC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5B8261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69812A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FE66049"/>
    <w:multiLevelType w:val="hybridMultilevel"/>
    <w:tmpl w:val="130AA3D2"/>
    <w:lvl w:ilvl="0" w:tplc="1EB8F962">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772862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FEA0B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16C34B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66728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A8E67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5A09C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7681B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2EE55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2873DC"/>
    <w:multiLevelType w:val="hybridMultilevel"/>
    <w:tmpl w:val="36D261BC"/>
    <w:lvl w:ilvl="0" w:tplc="D00AC06E">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978D9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30982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1548C1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9C85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07677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5526AC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6D8D85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EC70A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EE62A70"/>
    <w:multiLevelType w:val="hybridMultilevel"/>
    <w:tmpl w:val="9D30DE34"/>
    <w:lvl w:ilvl="0" w:tplc="F0B29B96">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2239A0">
      <w:start w:val="1"/>
      <w:numFmt w:val="bullet"/>
      <w:lvlText w:val="o"/>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58854E">
      <w:start w:val="1"/>
      <w:numFmt w:val="bullet"/>
      <w:lvlText w:val="▪"/>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2AFD18">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6436D2">
      <w:start w:val="1"/>
      <w:numFmt w:val="bullet"/>
      <w:lvlText w:val="o"/>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40EB38">
      <w:start w:val="1"/>
      <w:numFmt w:val="bullet"/>
      <w:lvlText w:val="▪"/>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1A4AB2">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0EF85A">
      <w:start w:val="1"/>
      <w:numFmt w:val="bullet"/>
      <w:lvlText w:val="o"/>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067CEC">
      <w:start w:val="1"/>
      <w:numFmt w:val="bullet"/>
      <w:lvlText w:val="▪"/>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384A12"/>
    <w:multiLevelType w:val="hybridMultilevel"/>
    <w:tmpl w:val="AA30A3FC"/>
    <w:lvl w:ilvl="0" w:tplc="701E8E14">
      <w:start w:val="1"/>
      <w:numFmt w:val="bullet"/>
      <w:lvlText w:val=""/>
      <w:lvlJc w:val="left"/>
      <w:pPr>
        <w:ind w:left="4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1489626">
      <w:start w:val="1"/>
      <w:numFmt w:val="bullet"/>
      <w:lvlText w:val="o"/>
      <w:lvlJc w:val="left"/>
      <w:pPr>
        <w:ind w:left="1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1CC8EA0">
      <w:start w:val="1"/>
      <w:numFmt w:val="bullet"/>
      <w:lvlText w:val="▪"/>
      <w:lvlJc w:val="left"/>
      <w:pPr>
        <w:ind w:left="2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B366A08">
      <w:start w:val="1"/>
      <w:numFmt w:val="bullet"/>
      <w:lvlText w:val="•"/>
      <w:lvlJc w:val="left"/>
      <w:pPr>
        <w:ind w:left="2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10CEA74">
      <w:start w:val="1"/>
      <w:numFmt w:val="bullet"/>
      <w:lvlText w:val="o"/>
      <w:lvlJc w:val="left"/>
      <w:pPr>
        <w:ind w:left="3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D1ABFBC">
      <w:start w:val="1"/>
      <w:numFmt w:val="bullet"/>
      <w:lvlText w:val="▪"/>
      <w:lvlJc w:val="left"/>
      <w:pPr>
        <w:ind w:left="4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1C8A0E4">
      <w:start w:val="1"/>
      <w:numFmt w:val="bullet"/>
      <w:lvlText w:val="•"/>
      <w:lvlJc w:val="left"/>
      <w:pPr>
        <w:ind w:left="4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76A63D6">
      <w:start w:val="1"/>
      <w:numFmt w:val="bullet"/>
      <w:lvlText w:val="o"/>
      <w:lvlJc w:val="left"/>
      <w:pPr>
        <w:ind w:left="5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5E25750">
      <w:start w:val="1"/>
      <w:numFmt w:val="bullet"/>
      <w:lvlText w:val="▪"/>
      <w:lvlJc w:val="left"/>
      <w:pPr>
        <w:ind w:left="63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4B04245"/>
    <w:multiLevelType w:val="hybridMultilevel"/>
    <w:tmpl w:val="404E3FEE"/>
    <w:lvl w:ilvl="0" w:tplc="016029B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DB26AA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1CA748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BD4329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E40505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3483DC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B2C917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306154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1F2DF6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CD53ED8"/>
    <w:multiLevelType w:val="hybridMultilevel"/>
    <w:tmpl w:val="2E74A304"/>
    <w:lvl w:ilvl="0" w:tplc="37AC1308">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FAEDD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D84D3C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1369B9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E61E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10855A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9024C8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746EA7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3899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8"/>
  </w:num>
  <w:num w:numId="4">
    <w:abstractNumId w:val="14"/>
  </w:num>
  <w:num w:numId="5">
    <w:abstractNumId w:val="4"/>
  </w:num>
  <w:num w:numId="6">
    <w:abstractNumId w:val="10"/>
  </w:num>
  <w:num w:numId="7">
    <w:abstractNumId w:val="6"/>
  </w:num>
  <w:num w:numId="8">
    <w:abstractNumId w:val="2"/>
  </w:num>
  <w:num w:numId="9">
    <w:abstractNumId w:val="3"/>
  </w:num>
  <w:num w:numId="10">
    <w:abstractNumId w:val="7"/>
  </w:num>
  <w:num w:numId="11">
    <w:abstractNumId w:val="11"/>
  </w:num>
  <w:num w:numId="12">
    <w:abstractNumId w:val="13"/>
  </w:num>
  <w:num w:numId="13">
    <w:abstractNumId w:val="1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9E"/>
    <w:rsid w:val="00097AB3"/>
    <w:rsid w:val="000C3672"/>
    <w:rsid w:val="00146A6D"/>
    <w:rsid w:val="001E3F0B"/>
    <w:rsid w:val="0033080C"/>
    <w:rsid w:val="004F5C23"/>
    <w:rsid w:val="005578D4"/>
    <w:rsid w:val="008917BF"/>
    <w:rsid w:val="00953E9E"/>
    <w:rsid w:val="00AC6994"/>
    <w:rsid w:val="00E958E4"/>
    <w:rsid w:val="00FC0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8B0C"/>
  <w15:chartTrackingRefBased/>
  <w15:docId w15:val="{35785E90-2968-474E-A470-43D8EC91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3E9E"/>
    <w:pPr>
      <w:spacing w:after="5" w:line="248" w:lineRule="auto"/>
      <w:ind w:left="370" w:right="3443" w:hanging="10"/>
      <w:jc w:val="both"/>
    </w:pPr>
    <w:rPr>
      <w:rFonts w:ascii="Cambria" w:eastAsia="Cambria" w:hAnsi="Cambria" w:cs="Cambria"/>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097AB3"/>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6217</Characters>
  <Application>Microsoft Office Word</Application>
  <DocSecurity>0</DocSecurity>
  <Lines>119</Lines>
  <Paragraphs>76</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Mielniczuk</dc:creator>
  <cp:keywords/>
  <dc:description/>
  <cp:lastModifiedBy>Ryszard Mielniczuk</cp:lastModifiedBy>
  <cp:revision>2</cp:revision>
  <dcterms:created xsi:type="dcterms:W3CDTF">2021-10-20T19:48:00Z</dcterms:created>
  <dcterms:modified xsi:type="dcterms:W3CDTF">2021-10-20T19:48:00Z</dcterms:modified>
</cp:coreProperties>
</file>